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C9" w:rsidRDefault="00D03BC9" w:rsidP="00D03BC9">
      <w:pPr>
        <w:pStyle w:val="Vahedeta"/>
        <w:jc w:val="both"/>
        <w:rPr>
          <w:rFonts w:ascii="Times New Roman" w:hAnsi="Times New Roman"/>
          <w:sz w:val="24"/>
          <w:szCs w:val="24"/>
        </w:rPr>
      </w:pPr>
      <w:r>
        <w:rPr>
          <w:rFonts w:ascii="Times New Roman" w:hAnsi="Times New Roman"/>
          <w:b/>
          <w:sz w:val="24"/>
          <w:szCs w:val="24"/>
        </w:rPr>
        <w:t xml:space="preserve">Kohtu nimetus </w:t>
      </w:r>
    </w:p>
    <w:p w:rsidR="00D03BC9" w:rsidRDefault="00D03BC9" w:rsidP="00D03BC9">
      <w:pPr>
        <w:pStyle w:val="Vahedeta"/>
        <w:jc w:val="both"/>
        <w:rPr>
          <w:rFonts w:ascii="Times New Roman" w:hAnsi="Times New Roman"/>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Kaebaja andmed:</w:t>
      </w:r>
    </w:p>
    <w:p w:rsidR="00D03BC9" w:rsidRDefault="00D03BC9" w:rsidP="00D03BC9">
      <w:pPr>
        <w:pStyle w:val="Vahedeta"/>
        <w:jc w:val="both"/>
        <w:rPr>
          <w:rFonts w:ascii="Times New Roman" w:hAnsi="Times New Roman"/>
          <w:b/>
          <w:sz w:val="24"/>
          <w:szCs w:val="24"/>
        </w:rPr>
      </w:pPr>
      <w:r>
        <w:rPr>
          <w:rFonts w:ascii="Times New Roman" w:hAnsi="Times New Roman"/>
          <w:sz w:val="24"/>
          <w:szCs w:val="24"/>
        </w:rPr>
        <w:t>nimi;</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isikukood (või sünniaeg)/ registrikood;</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postiaadress;</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sidevahendite andmed (e-post, telefoninumber).</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Kui kaebajal on esindaja, tuleb esitada ka kaebaja esindaja nimi, aadress ja sidevahendite andmed.</w:t>
      </w:r>
    </w:p>
    <w:p w:rsidR="00D03BC9" w:rsidRDefault="00D03BC9" w:rsidP="00D03BC9">
      <w:pPr>
        <w:pStyle w:val="Vahedeta"/>
        <w:jc w:val="both"/>
        <w:rPr>
          <w:rFonts w:ascii="Times New Roman" w:hAnsi="Times New Roman"/>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Vastustaja andmed:</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 xml:space="preserve">Vastustajaks on riigiasutus, vald või linn, avalik-õiguslik juriidiline isik või muu isik, kelle tegevuse peale on esitatud kaebus. </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postiaadress;</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sidevahendite andmed (e-post, telefoninumber).</w:t>
      </w:r>
    </w:p>
    <w:p w:rsidR="00D03BC9" w:rsidRDefault="00D03BC9" w:rsidP="00D03BC9">
      <w:pPr>
        <w:pStyle w:val="Vahedeta"/>
        <w:jc w:val="both"/>
        <w:rPr>
          <w:rFonts w:ascii="Times New Roman" w:hAnsi="Times New Roman"/>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KAEBUS</w:t>
      </w:r>
    </w:p>
    <w:p w:rsidR="00D03BC9" w:rsidRDefault="00D03BC9" w:rsidP="00D03BC9">
      <w:pPr>
        <w:pStyle w:val="Vahedeta"/>
        <w:jc w:val="both"/>
        <w:rPr>
          <w:rFonts w:ascii="Times New Roman" w:hAnsi="Times New Roman"/>
          <w:b/>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Vaidlustatav haldusakt või toiming.</w:t>
      </w: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 xml:space="preserve">I KAEBUSE SISU </w:t>
      </w:r>
    </w:p>
    <w:p w:rsidR="00D03BC9" w:rsidRDefault="00D03BC9" w:rsidP="00D03BC9">
      <w:pPr>
        <w:pStyle w:val="Vahedeta"/>
        <w:numPr>
          <w:ilvl w:val="0"/>
          <w:numId w:val="1"/>
        </w:numPr>
        <w:ind w:left="360"/>
        <w:jc w:val="both"/>
        <w:rPr>
          <w:rFonts w:ascii="Times New Roman" w:hAnsi="Times New Roman"/>
          <w:sz w:val="24"/>
          <w:szCs w:val="24"/>
        </w:rPr>
      </w:pPr>
      <w:r>
        <w:rPr>
          <w:rFonts w:ascii="Times New Roman" w:hAnsi="Times New Roman"/>
          <w:sz w:val="24"/>
          <w:szCs w:val="24"/>
        </w:rPr>
        <w:t>Vaidlusaluse haldusakti või toimingu sisu, nimetus, kuupäev, number ja selle andnud või teinud haldusorgan (kui nimetatud andmete esitamine on võimalik);</w:t>
      </w:r>
    </w:p>
    <w:p w:rsidR="00D03BC9" w:rsidRDefault="00D03BC9" w:rsidP="00D03BC9">
      <w:pPr>
        <w:pStyle w:val="Vahedeta"/>
        <w:numPr>
          <w:ilvl w:val="0"/>
          <w:numId w:val="1"/>
        </w:numPr>
        <w:ind w:left="360"/>
        <w:jc w:val="both"/>
        <w:rPr>
          <w:rFonts w:ascii="Times New Roman" w:hAnsi="Times New Roman"/>
          <w:sz w:val="24"/>
          <w:szCs w:val="24"/>
        </w:rPr>
      </w:pPr>
      <w:r>
        <w:rPr>
          <w:rFonts w:ascii="Times New Roman" w:hAnsi="Times New Roman"/>
          <w:sz w:val="24"/>
          <w:szCs w:val="24"/>
        </w:rPr>
        <w:t>Kaebuse nõue:</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haldusakti osaline või täielik tühistamine (tühistamiskaebus);</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haldusakti andmine või toimingu tegemine (kohustamiskaebus);</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haldusakti andmise või toimingu tegemise keelamine (keelamiskaebus);</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avalik-õiguslikus suhtes tekitatud kahju hüvitamine (hüvitamiskaebus);</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haldusakti või toimingu õigusvastaste tagajärgede kõrvaldamine (heastamiskaebus);</w:t>
      </w:r>
    </w:p>
    <w:p w:rsidR="00D03BC9" w:rsidRDefault="00D03BC9" w:rsidP="00D03BC9">
      <w:pPr>
        <w:pStyle w:val="Vahedeta"/>
        <w:numPr>
          <w:ilvl w:val="0"/>
          <w:numId w:val="2"/>
        </w:numPr>
        <w:ind w:left="900"/>
        <w:jc w:val="both"/>
        <w:rPr>
          <w:rFonts w:ascii="Times New Roman" w:hAnsi="Times New Roman"/>
          <w:sz w:val="24"/>
          <w:szCs w:val="24"/>
        </w:rPr>
      </w:pPr>
      <w:r>
        <w:rPr>
          <w:rFonts w:ascii="Times New Roman" w:hAnsi="Times New Roman"/>
          <w:sz w:val="24"/>
          <w:szCs w:val="24"/>
        </w:rPr>
        <w:t>haldusakti tühisuse, haldusakti või toimingu õigusvastasuse või muu avalik-õiguslikus suhtes tähtsust omava faktilise asjaolu kindlakstegemine (tuvastamiskaebus).</w:t>
      </w:r>
    </w:p>
    <w:p w:rsidR="00D03BC9" w:rsidRDefault="00D03BC9" w:rsidP="00D03BC9">
      <w:pPr>
        <w:pStyle w:val="Vahedeta"/>
        <w:numPr>
          <w:ilvl w:val="0"/>
          <w:numId w:val="3"/>
        </w:numPr>
        <w:jc w:val="both"/>
        <w:rPr>
          <w:rFonts w:ascii="Times New Roman" w:hAnsi="Times New Roman"/>
          <w:sz w:val="24"/>
          <w:szCs w:val="24"/>
        </w:rPr>
      </w:pPr>
      <w:r>
        <w:rPr>
          <w:rFonts w:ascii="Times New Roman" w:hAnsi="Times New Roman"/>
          <w:sz w:val="24"/>
          <w:szCs w:val="24"/>
        </w:rPr>
        <w:t xml:space="preserve">Kaebuses või soovi korral esitada ka mitu omavahel seotud nõuet (liitkaebus), kusjuures nõuded võivad olla alternatiivsed. </w:t>
      </w:r>
    </w:p>
    <w:p w:rsidR="00D03BC9" w:rsidRDefault="00D03BC9" w:rsidP="00D03BC9">
      <w:pPr>
        <w:pStyle w:val="Vahedeta"/>
        <w:numPr>
          <w:ilvl w:val="0"/>
          <w:numId w:val="3"/>
        </w:numPr>
        <w:jc w:val="both"/>
        <w:rPr>
          <w:rFonts w:ascii="Times New Roman" w:hAnsi="Times New Roman"/>
          <w:sz w:val="24"/>
          <w:szCs w:val="24"/>
        </w:rPr>
      </w:pPr>
      <w:r>
        <w:rPr>
          <w:rFonts w:ascii="Times New Roman" w:hAnsi="Times New Roman"/>
          <w:sz w:val="24"/>
          <w:szCs w:val="24"/>
        </w:rPr>
        <w:t>Tühistamiskaebuses võib lisaks haldusakti tühistamisele taotleda sellise tehingu tühisuse kindlakstegemist, mille tegemisele see tahteavaldus oli suunatud.</w:t>
      </w:r>
    </w:p>
    <w:p w:rsidR="00D03BC9" w:rsidRDefault="00D03BC9" w:rsidP="00D03BC9">
      <w:pPr>
        <w:pStyle w:val="Vahedeta"/>
        <w:numPr>
          <w:ilvl w:val="0"/>
          <w:numId w:val="3"/>
        </w:numPr>
        <w:jc w:val="both"/>
        <w:rPr>
          <w:rFonts w:ascii="Times New Roman" w:hAnsi="Times New Roman"/>
          <w:sz w:val="24"/>
          <w:szCs w:val="24"/>
        </w:rPr>
      </w:pPr>
      <w:r>
        <w:rPr>
          <w:rFonts w:ascii="Times New Roman" w:hAnsi="Times New Roman"/>
          <w:sz w:val="24"/>
          <w:szCs w:val="24"/>
        </w:rPr>
        <w:t xml:space="preserve">Rahalise hüvitise nõudmisel märgitakse hüvitise suurus. Mittevaralise kahju korral või kui varalise kahju suuruse kindlaks tegemine on võimatu või ebamõistlikult keeruline, võib kaebaja jätta hüvitise suuruse kaebuses märkimata ja taotleda õiglast hüvitist kohtu äranägemisel. </w:t>
      </w:r>
    </w:p>
    <w:p w:rsidR="00D03BC9" w:rsidRDefault="00D03BC9" w:rsidP="00D03BC9">
      <w:pPr>
        <w:pStyle w:val="Vahedeta"/>
        <w:numPr>
          <w:ilvl w:val="0"/>
          <w:numId w:val="1"/>
        </w:numPr>
        <w:ind w:left="360"/>
        <w:jc w:val="both"/>
        <w:rPr>
          <w:rFonts w:ascii="Times New Roman" w:hAnsi="Times New Roman"/>
          <w:sz w:val="24"/>
          <w:szCs w:val="24"/>
        </w:rPr>
      </w:pPr>
      <w:r>
        <w:rPr>
          <w:rFonts w:ascii="Times New Roman" w:hAnsi="Times New Roman"/>
          <w:sz w:val="24"/>
          <w:szCs w:val="24"/>
        </w:rPr>
        <w:t>Kaebuse faktiline põhjendus:</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t>vaidluse asjaolud;</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t>tõendid, mis kinnitavad kaebaja poolt väidetavaid asjaolusid, viidates konkreetselt, millist asjaolu millise tõendiga tõendada soovitakse;</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t>kuidas on kaebus kaebaja õiguste kaitseks vajalik;</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t>keelamiskaebuse korral, miks on põhjust arvata, et vastustaja annab keelatava haldusakti või teeb toimingu, mis rikub kaebaja õigusi, ning miks ei saa õigusi tõhusalt kaitsta haldusakti või toimingu hilisemal vaidlustamisel;</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t>tuvastamiskaebuse korra selgitus, kas õiguste kaitseks ei leidu tõhusamaid vahendeid;</w:t>
      </w:r>
    </w:p>
    <w:p w:rsidR="00D03BC9" w:rsidRDefault="00D03BC9" w:rsidP="00D03BC9">
      <w:pPr>
        <w:pStyle w:val="Vahedeta"/>
        <w:numPr>
          <w:ilvl w:val="1"/>
          <w:numId w:val="1"/>
        </w:numPr>
        <w:ind w:left="900" w:hanging="540"/>
        <w:jc w:val="both"/>
        <w:rPr>
          <w:rFonts w:ascii="Times New Roman" w:hAnsi="Times New Roman"/>
          <w:sz w:val="24"/>
          <w:szCs w:val="24"/>
        </w:rPr>
      </w:pPr>
      <w:r>
        <w:rPr>
          <w:rFonts w:ascii="Times New Roman" w:hAnsi="Times New Roman"/>
          <w:sz w:val="24"/>
          <w:szCs w:val="24"/>
        </w:rPr>
        <w:lastRenderedPageBreak/>
        <w:t xml:space="preserve">menetlustoimingu vaidlustamise korral põhjendus, kuidas toiming rikub kaebaja õigusi haldusaktist või lõplikust toimingust sõltumatult või kuidas menetlustoiming tingib vältimatult kaebaja õigusi rikkuva haldusakti andmise või toimingu tegemise. </w:t>
      </w:r>
    </w:p>
    <w:p w:rsidR="00D03BC9" w:rsidRDefault="00D03BC9" w:rsidP="00D03BC9">
      <w:pPr>
        <w:pStyle w:val="Vahedeta"/>
        <w:numPr>
          <w:ilvl w:val="0"/>
          <w:numId w:val="1"/>
        </w:numPr>
        <w:tabs>
          <w:tab w:val="left" w:pos="360"/>
        </w:tabs>
        <w:ind w:left="360"/>
        <w:jc w:val="both"/>
        <w:rPr>
          <w:rFonts w:ascii="Times New Roman" w:hAnsi="Times New Roman"/>
          <w:sz w:val="24"/>
          <w:szCs w:val="24"/>
        </w:rPr>
      </w:pPr>
      <w:r>
        <w:rPr>
          <w:rFonts w:ascii="Times New Roman" w:hAnsi="Times New Roman"/>
          <w:sz w:val="24"/>
          <w:szCs w:val="24"/>
        </w:rPr>
        <w:t>Vaidlusalusest haldusaktist või toimingu sooritamisest teadasaamise kuupäev ja viis;</w:t>
      </w:r>
    </w:p>
    <w:p w:rsidR="00D03BC9" w:rsidRDefault="00D03BC9" w:rsidP="00D03BC9">
      <w:pPr>
        <w:pStyle w:val="Vahedeta"/>
        <w:numPr>
          <w:ilvl w:val="1"/>
          <w:numId w:val="1"/>
        </w:numPr>
        <w:tabs>
          <w:tab w:val="left" w:pos="720"/>
        </w:tabs>
        <w:ind w:left="720"/>
        <w:jc w:val="both"/>
        <w:rPr>
          <w:rFonts w:ascii="Times New Roman" w:hAnsi="Times New Roman"/>
          <w:sz w:val="24"/>
          <w:szCs w:val="24"/>
        </w:rPr>
      </w:pPr>
      <w:r>
        <w:rPr>
          <w:rFonts w:ascii="Times New Roman" w:hAnsi="Times New Roman"/>
          <w:sz w:val="24"/>
          <w:szCs w:val="24"/>
        </w:rPr>
        <w:t>kui asi lahendati kohtueelses menetluses, tuleb märkida, millal kaebaja sai teada kohtueelses menetluses tehtud otsusest kaebuses sisalduva taotluse osalise või täieliku rahuldamata jätmise kohta;</w:t>
      </w:r>
    </w:p>
    <w:p w:rsidR="00D03BC9" w:rsidRDefault="00D03BC9" w:rsidP="00D03BC9">
      <w:pPr>
        <w:pStyle w:val="Vahedeta"/>
        <w:numPr>
          <w:ilvl w:val="1"/>
          <w:numId w:val="1"/>
        </w:numPr>
        <w:tabs>
          <w:tab w:val="left" w:pos="720"/>
        </w:tabs>
        <w:ind w:left="720"/>
        <w:jc w:val="both"/>
        <w:rPr>
          <w:rFonts w:ascii="Times New Roman" w:hAnsi="Times New Roman"/>
          <w:sz w:val="24"/>
          <w:szCs w:val="24"/>
        </w:rPr>
      </w:pPr>
      <w:r>
        <w:rPr>
          <w:rFonts w:ascii="Times New Roman" w:hAnsi="Times New Roman"/>
          <w:sz w:val="24"/>
          <w:szCs w:val="24"/>
        </w:rPr>
        <w:t>kui kaebus on esitatud kahju hüvitamise nõudes, tuleb märkida, millal kaebuse esitaja sai teada kahjust ja selle põhjustanud isikust või pidi sellest teada saama.</w:t>
      </w:r>
    </w:p>
    <w:p w:rsidR="00D03BC9" w:rsidRDefault="00D03BC9" w:rsidP="00D03BC9">
      <w:pPr>
        <w:pStyle w:val="Vahedeta"/>
        <w:ind w:left="360"/>
        <w:jc w:val="both"/>
        <w:rPr>
          <w:rFonts w:ascii="Times New Roman" w:hAnsi="Times New Roman"/>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II KAEBAJA MUUD TAOTLUSED</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tähtaja ennistamise taotlus ning põhjendused tähtaja möödalaskmiseks, kui kaebus esitatakse pärast halduskohtusse kaebuse esitamise tähtaja möödumist;</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kas kaebaja soovib asja arutamist istungil, kirjalikus menetluses või lihtmenetluses;</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kas kaebaja soovib menetlusse kaasata kolmanda isiku, kui kohtulahendiga võidakse otsustada kolmanda isiku õiguste või kohustuste üle;</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 xml:space="preserve">vajaduse korral esialgse õiguskaitse taotlus, </w:t>
      </w:r>
      <w:proofErr w:type="spellStart"/>
      <w:r>
        <w:rPr>
          <w:rFonts w:ascii="Times New Roman" w:hAnsi="Times New Roman"/>
          <w:sz w:val="24"/>
          <w:szCs w:val="24"/>
        </w:rPr>
        <w:t>taotlus</w:t>
      </w:r>
      <w:proofErr w:type="spellEnd"/>
      <w:r>
        <w:rPr>
          <w:rFonts w:ascii="Times New Roman" w:hAnsi="Times New Roman"/>
          <w:sz w:val="24"/>
          <w:szCs w:val="24"/>
        </w:rPr>
        <w:t xml:space="preserve"> otsuse täitmise tähtaja või muude otsuse täitmise oluliste tingimuste kindlaksmääramiseks</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soov kasutada tõlgi abi koos tõlgi andmetega</w:t>
      </w:r>
    </w:p>
    <w:p w:rsidR="00D03BC9" w:rsidRDefault="00D03BC9" w:rsidP="00D03BC9">
      <w:pPr>
        <w:pStyle w:val="Vahedeta"/>
        <w:numPr>
          <w:ilvl w:val="1"/>
          <w:numId w:val="2"/>
        </w:numPr>
        <w:tabs>
          <w:tab w:val="num" w:pos="360"/>
        </w:tabs>
        <w:ind w:left="360"/>
        <w:jc w:val="both"/>
        <w:rPr>
          <w:rFonts w:ascii="Times New Roman" w:hAnsi="Times New Roman"/>
          <w:sz w:val="24"/>
          <w:szCs w:val="24"/>
        </w:rPr>
      </w:pPr>
      <w:r>
        <w:rPr>
          <w:rFonts w:ascii="Times New Roman" w:hAnsi="Times New Roman"/>
          <w:sz w:val="24"/>
          <w:szCs w:val="24"/>
        </w:rPr>
        <w:t>nimekiri kaebuse lisadest.</w:t>
      </w:r>
    </w:p>
    <w:p w:rsidR="00D03BC9" w:rsidRDefault="00D03BC9" w:rsidP="00D03BC9">
      <w:pPr>
        <w:pStyle w:val="Vahedeta"/>
        <w:jc w:val="both"/>
        <w:rPr>
          <w:rFonts w:ascii="Times New Roman" w:hAnsi="Times New Roman"/>
          <w:sz w:val="24"/>
          <w:szCs w:val="24"/>
        </w:rPr>
      </w:pP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Kaebuse esitaja allkiri</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kuupäev</w:t>
      </w:r>
    </w:p>
    <w:p w:rsidR="00D03BC9" w:rsidRDefault="00D03BC9" w:rsidP="00D03BC9">
      <w:pPr>
        <w:pStyle w:val="Vahedeta"/>
        <w:ind w:left="709"/>
        <w:jc w:val="both"/>
        <w:rPr>
          <w:rFonts w:ascii="Times New Roman" w:hAnsi="Times New Roman"/>
          <w:sz w:val="24"/>
          <w:szCs w:val="24"/>
        </w:rPr>
      </w:pPr>
    </w:p>
    <w:p w:rsidR="00D03BC9" w:rsidRDefault="00D03BC9" w:rsidP="00D03BC9">
      <w:pPr>
        <w:pStyle w:val="Vahedeta"/>
        <w:jc w:val="both"/>
        <w:rPr>
          <w:rFonts w:ascii="Times New Roman" w:hAnsi="Times New Roman"/>
          <w:b/>
          <w:sz w:val="24"/>
          <w:szCs w:val="24"/>
        </w:rPr>
      </w:pPr>
    </w:p>
    <w:p w:rsidR="00D03BC9" w:rsidRDefault="00D03BC9" w:rsidP="00D03BC9">
      <w:pPr>
        <w:pStyle w:val="Vahedeta"/>
        <w:jc w:val="both"/>
        <w:rPr>
          <w:rFonts w:ascii="Times New Roman" w:hAnsi="Times New Roman"/>
          <w:b/>
          <w:sz w:val="24"/>
          <w:szCs w:val="24"/>
        </w:rPr>
      </w:pPr>
      <w:r>
        <w:rPr>
          <w:rFonts w:ascii="Times New Roman" w:hAnsi="Times New Roman"/>
          <w:b/>
          <w:sz w:val="24"/>
          <w:szCs w:val="24"/>
        </w:rPr>
        <w:t>KAEBUSE LISAD</w:t>
      </w:r>
    </w:p>
    <w:p w:rsidR="00D03BC9" w:rsidRDefault="00D03BC9" w:rsidP="00D03BC9">
      <w:pPr>
        <w:pStyle w:val="Vahedeta"/>
        <w:jc w:val="both"/>
        <w:rPr>
          <w:rFonts w:ascii="Times New Roman" w:hAnsi="Times New Roman"/>
          <w:sz w:val="24"/>
          <w:szCs w:val="24"/>
        </w:rPr>
      </w:pPr>
      <w:r>
        <w:rPr>
          <w:rFonts w:ascii="Times New Roman" w:hAnsi="Times New Roman"/>
          <w:sz w:val="24"/>
          <w:szCs w:val="24"/>
        </w:rPr>
        <w:t>Kaebusele tuleb lisada:</w:t>
      </w:r>
    </w:p>
    <w:p w:rsidR="00D03BC9" w:rsidRDefault="00D03BC9" w:rsidP="00D03BC9">
      <w:pPr>
        <w:pStyle w:val="Vahedeta"/>
        <w:numPr>
          <w:ilvl w:val="0"/>
          <w:numId w:val="4"/>
        </w:numPr>
        <w:jc w:val="both"/>
        <w:rPr>
          <w:rFonts w:ascii="Times New Roman" w:hAnsi="Times New Roman"/>
          <w:sz w:val="24"/>
          <w:szCs w:val="24"/>
        </w:rPr>
      </w:pPr>
      <w:r>
        <w:rPr>
          <w:rFonts w:ascii="Times New Roman" w:hAnsi="Times New Roman"/>
          <w:sz w:val="24"/>
          <w:szCs w:val="24"/>
        </w:rPr>
        <w:t>asjassepuutuvad dokumendid:</w:t>
      </w:r>
    </w:p>
    <w:p w:rsidR="00D03BC9" w:rsidRDefault="00D03BC9" w:rsidP="00D03BC9">
      <w:pPr>
        <w:pStyle w:val="Vahedeta"/>
        <w:numPr>
          <w:ilvl w:val="1"/>
          <w:numId w:val="4"/>
        </w:numPr>
        <w:ind w:left="900" w:hanging="540"/>
        <w:jc w:val="both"/>
        <w:rPr>
          <w:rFonts w:ascii="Times New Roman" w:hAnsi="Times New Roman"/>
          <w:sz w:val="24"/>
          <w:szCs w:val="24"/>
        </w:rPr>
      </w:pPr>
      <w:r>
        <w:rPr>
          <w:rFonts w:ascii="Times New Roman" w:hAnsi="Times New Roman"/>
          <w:sz w:val="24"/>
          <w:szCs w:val="24"/>
        </w:rPr>
        <w:t>vaidlustatud haldusakt või selle ärakiri, kui see on kaebajal olemas;</w:t>
      </w:r>
    </w:p>
    <w:p w:rsidR="00D03BC9" w:rsidRDefault="00D03BC9" w:rsidP="00D03BC9">
      <w:pPr>
        <w:pStyle w:val="Vahedeta"/>
        <w:numPr>
          <w:ilvl w:val="1"/>
          <w:numId w:val="4"/>
        </w:numPr>
        <w:ind w:left="900" w:hanging="540"/>
        <w:jc w:val="both"/>
        <w:rPr>
          <w:rFonts w:ascii="Times New Roman" w:hAnsi="Times New Roman"/>
          <w:sz w:val="24"/>
          <w:szCs w:val="24"/>
        </w:rPr>
      </w:pPr>
      <w:r>
        <w:rPr>
          <w:rFonts w:ascii="Times New Roman" w:hAnsi="Times New Roman"/>
          <w:sz w:val="24"/>
          <w:szCs w:val="24"/>
        </w:rPr>
        <w:t>võimaluse korral tõendid haldusakti kättetoimetamise või haldusaktist või toimingust teadasaamise aja kohta, kui haldusakti andmisest või toimingu tegemisest on kaebuse esitamise ajaks möödunud oluliselt rohkem aega kui seaduses sätestatud kaebetähtaeg;</w:t>
      </w:r>
    </w:p>
    <w:p w:rsidR="00D03BC9" w:rsidRDefault="00D03BC9" w:rsidP="00D03BC9">
      <w:pPr>
        <w:pStyle w:val="Vahedeta"/>
        <w:numPr>
          <w:ilvl w:val="1"/>
          <w:numId w:val="4"/>
        </w:numPr>
        <w:ind w:left="900" w:hanging="540"/>
        <w:jc w:val="both"/>
        <w:rPr>
          <w:rFonts w:ascii="Times New Roman" w:hAnsi="Times New Roman"/>
          <w:sz w:val="24"/>
          <w:szCs w:val="24"/>
        </w:rPr>
      </w:pPr>
      <w:r>
        <w:rPr>
          <w:rFonts w:ascii="Times New Roman" w:hAnsi="Times New Roman"/>
          <w:sz w:val="24"/>
          <w:szCs w:val="24"/>
        </w:rPr>
        <w:t>dokumendid või tõendid, millele kaebaja nõue tugineb, kui need ei ole eelnevalt esitatud vastustajale menetluses, mille raames antud haldusakti või toimingut vaidlustatakse;</w:t>
      </w:r>
    </w:p>
    <w:p w:rsidR="00D03BC9" w:rsidRDefault="00D03BC9" w:rsidP="00D03BC9">
      <w:pPr>
        <w:pStyle w:val="Vahedeta"/>
        <w:numPr>
          <w:ilvl w:val="0"/>
          <w:numId w:val="4"/>
        </w:numPr>
        <w:ind w:left="426"/>
        <w:jc w:val="both"/>
        <w:rPr>
          <w:rFonts w:ascii="Times New Roman" w:hAnsi="Times New Roman"/>
          <w:sz w:val="24"/>
          <w:szCs w:val="24"/>
        </w:rPr>
      </w:pPr>
      <w:r>
        <w:rPr>
          <w:rFonts w:ascii="Times New Roman" w:hAnsi="Times New Roman"/>
          <w:sz w:val="24"/>
          <w:szCs w:val="24"/>
        </w:rPr>
        <w:t>andmed riigilõivu tasumise kohta või menetlusabi taotlus;</w:t>
      </w:r>
    </w:p>
    <w:p w:rsidR="00D03BC9" w:rsidRDefault="00D03BC9" w:rsidP="00D03BC9">
      <w:pPr>
        <w:pStyle w:val="Vahedeta"/>
        <w:numPr>
          <w:ilvl w:val="0"/>
          <w:numId w:val="4"/>
        </w:numPr>
        <w:ind w:left="426"/>
        <w:jc w:val="both"/>
        <w:rPr>
          <w:rFonts w:ascii="Times New Roman" w:hAnsi="Times New Roman"/>
          <w:sz w:val="24"/>
          <w:szCs w:val="24"/>
        </w:rPr>
      </w:pPr>
      <w:r>
        <w:rPr>
          <w:rFonts w:ascii="Times New Roman" w:hAnsi="Times New Roman"/>
          <w:sz w:val="24"/>
          <w:szCs w:val="24"/>
        </w:rPr>
        <w:t>volikiri (kui kaebusele on alla kirjutanud kaebaja volitatud esindaja, välja arvatud advokaat) ning haridust tõendav dokument (v.a advokaat);</w:t>
      </w:r>
    </w:p>
    <w:p w:rsidR="00D03BC9" w:rsidRDefault="00D03BC9" w:rsidP="00D03BC9">
      <w:pPr>
        <w:pStyle w:val="Vahedeta"/>
        <w:numPr>
          <w:ilvl w:val="0"/>
          <w:numId w:val="4"/>
        </w:numPr>
        <w:ind w:left="426"/>
        <w:jc w:val="both"/>
        <w:rPr>
          <w:rFonts w:ascii="Times New Roman" w:hAnsi="Times New Roman"/>
          <w:sz w:val="24"/>
          <w:szCs w:val="24"/>
        </w:rPr>
      </w:pPr>
      <w:r>
        <w:rPr>
          <w:rFonts w:ascii="Times New Roman" w:hAnsi="Times New Roman"/>
          <w:sz w:val="24"/>
          <w:szCs w:val="24"/>
        </w:rPr>
        <w:t>tõend isiku õigusvõime ja seadusliku esindaja kohta, kui kaebajaks on välisriigi juriidiline isik;</w:t>
      </w:r>
    </w:p>
    <w:p w:rsidR="00D03BC9" w:rsidRDefault="00D03BC9" w:rsidP="00D03BC9">
      <w:pPr>
        <w:pStyle w:val="Vahedeta"/>
        <w:numPr>
          <w:ilvl w:val="0"/>
          <w:numId w:val="4"/>
        </w:numPr>
        <w:ind w:left="426"/>
        <w:jc w:val="both"/>
        <w:rPr>
          <w:rFonts w:ascii="Times New Roman" w:hAnsi="Times New Roman"/>
          <w:sz w:val="24"/>
          <w:szCs w:val="24"/>
        </w:rPr>
      </w:pPr>
      <w:r>
        <w:rPr>
          <w:rFonts w:ascii="Times New Roman" w:hAnsi="Times New Roman"/>
          <w:sz w:val="24"/>
          <w:szCs w:val="24"/>
        </w:rPr>
        <w:t>kaebuse esitamisel kirjalikult, mitte elektrooniliselt, kaebuse ja selle lisade ärakirjad teistele menetlusosalistele, välja arvatud kaaskaebajatele (välja arvatud juhul, kui dokument on teisel menetlusosalisel olemas originaali või ärakirjana või kui kaebaja peab edastama selle otse teisele menetlusosalisele).</w:t>
      </w:r>
    </w:p>
    <w:p w:rsidR="000B7157" w:rsidRDefault="000B7157">
      <w:bookmarkStart w:id="0" w:name="_GoBack"/>
      <w:bookmarkEnd w:id="0"/>
    </w:p>
    <w:sectPr w:rsidR="000B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76A"/>
    <w:multiLevelType w:val="hybridMultilevel"/>
    <w:tmpl w:val="669E35EC"/>
    <w:lvl w:ilvl="0" w:tplc="04250011">
      <w:start w:val="1"/>
      <w:numFmt w:val="decimal"/>
      <w:lvlText w:val="%1)"/>
      <w:lvlJc w:val="left"/>
      <w:pPr>
        <w:ind w:left="1068" w:hanging="360"/>
      </w:pPr>
      <w:rPr>
        <w:rFonts w:cs="Times New Roman" w:hint="default"/>
      </w:rPr>
    </w:lvl>
    <w:lvl w:ilvl="1" w:tplc="FAD2D606">
      <w:start w:val="1"/>
      <w:numFmt w:val="decimal"/>
      <w:lvlText w:val="%2."/>
      <w:lvlJc w:val="left"/>
      <w:pPr>
        <w:tabs>
          <w:tab w:val="num" w:pos="1788"/>
        </w:tabs>
        <w:ind w:left="1788" w:hanging="360"/>
      </w:pPr>
      <w:rPr>
        <w:rFonts w:cs="Times New Roman" w:hint="default"/>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1">
    <w:nsid w:val="20B73CAE"/>
    <w:multiLevelType w:val="hybridMultilevel"/>
    <w:tmpl w:val="CC42A6EA"/>
    <w:lvl w:ilvl="0" w:tplc="598E0234">
      <w:start w:val="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6A07360"/>
    <w:multiLevelType w:val="multilevel"/>
    <w:tmpl w:val="77928878"/>
    <w:lvl w:ilvl="0">
      <w:start w:val="1"/>
      <w:numFmt w:val="decimal"/>
      <w:lvlText w:val="%1."/>
      <w:lvlJc w:val="left"/>
      <w:pPr>
        <w:tabs>
          <w:tab w:val="num" w:pos="0"/>
        </w:tabs>
        <w:ind w:left="3780" w:hanging="360"/>
      </w:pPr>
      <w:rPr>
        <w:rFonts w:ascii="Times New Roman" w:eastAsia="Times New Roman" w:hAnsi="Times New Roman" w:cs="Times New Roman"/>
      </w:rPr>
    </w:lvl>
    <w:lvl w:ilvl="1">
      <w:start w:val="1"/>
      <w:numFmt w:val="decimal"/>
      <w:lvlText w:val="%1.%2."/>
      <w:lvlJc w:val="left"/>
      <w:pPr>
        <w:tabs>
          <w:tab w:val="num" w:pos="0"/>
        </w:tabs>
        <w:ind w:left="3780" w:hanging="360"/>
      </w:pPr>
      <w:rPr>
        <w:rFonts w:cs="Times New Roman" w:hint="default"/>
        <w:b w:val="0"/>
      </w:rPr>
    </w:lvl>
    <w:lvl w:ilvl="2">
      <w:start w:val="1"/>
      <w:numFmt w:val="decimal"/>
      <w:lvlText w:val="%1.%2.%3."/>
      <w:lvlJc w:val="left"/>
      <w:pPr>
        <w:tabs>
          <w:tab w:val="num" w:pos="0"/>
        </w:tabs>
        <w:ind w:left="4140" w:hanging="720"/>
      </w:pPr>
      <w:rPr>
        <w:rFonts w:cs="Times New Roman" w:hint="default"/>
        <w:b/>
      </w:rPr>
    </w:lvl>
    <w:lvl w:ilvl="3">
      <w:start w:val="1"/>
      <w:numFmt w:val="decimal"/>
      <w:lvlText w:val="%1.%2.%3.%4."/>
      <w:lvlJc w:val="left"/>
      <w:pPr>
        <w:tabs>
          <w:tab w:val="num" w:pos="0"/>
        </w:tabs>
        <w:ind w:left="4140" w:hanging="720"/>
      </w:pPr>
      <w:rPr>
        <w:rFonts w:cs="Times New Roman" w:hint="default"/>
      </w:rPr>
    </w:lvl>
    <w:lvl w:ilvl="4">
      <w:start w:val="1"/>
      <w:numFmt w:val="decimal"/>
      <w:lvlText w:val="%1.%2.%3.%4.%5."/>
      <w:lvlJc w:val="left"/>
      <w:pPr>
        <w:tabs>
          <w:tab w:val="num" w:pos="0"/>
        </w:tabs>
        <w:ind w:left="4500" w:hanging="1080"/>
      </w:pPr>
      <w:rPr>
        <w:rFonts w:cs="Times New Roman" w:hint="default"/>
      </w:rPr>
    </w:lvl>
    <w:lvl w:ilvl="5">
      <w:start w:val="1"/>
      <w:numFmt w:val="decimal"/>
      <w:lvlText w:val="%1.%2.%3.%4.%5.%6."/>
      <w:lvlJc w:val="left"/>
      <w:pPr>
        <w:tabs>
          <w:tab w:val="num" w:pos="0"/>
        </w:tabs>
        <w:ind w:left="4500" w:hanging="1080"/>
      </w:pPr>
      <w:rPr>
        <w:rFonts w:cs="Times New Roman" w:hint="default"/>
      </w:rPr>
    </w:lvl>
    <w:lvl w:ilvl="6">
      <w:start w:val="1"/>
      <w:numFmt w:val="decimal"/>
      <w:lvlText w:val="%1.%2.%3.%4.%5.%6.%7."/>
      <w:lvlJc w:val="left"/>
      <w:pPr>
        <w:tabs>
          <w:tab w:val="num" w:pos="0"/>
        </w:tabs>
        <w:ind w:left="4860" w:hanging="1440"/>
      </w:pPr>
      <w:rPr>
        <w:rFonts w:cs="Times New Roman" w:hint="default"/>
      </w:rPr>
    </w:lvl>
    <w:lvl w:ilvl="7">
      <w:start w:val="1"/>
      <w:numFmt w:val="decimal"/>
      <w:lvlText w:val="%1.%2.%3.%4.%5.%6.%7.%8."/>
      <w:lvlJc w:val="left"/>
      <w:pPr>
        <w:tabs>
          <w:tab w:val="num" w:pos="0"/>
        </w:tabs>
        <w:ind w:left="4860" w:hanging="1440"/>
      </w:pPr>
      <w:rPr>
        <w:rFonts w:cs="Times New Roman" w:hint="default"/>
      </w:rPr>
    </w:lvl>
    <w:lvl w:ilvl="8">
      <w:start w:val="1"/>
      <w:numFmt w:val="decimal"/>
      <w:lvlText w:val="%1.%2.%3.%4.%5.%6.%7.%8.%9."/>
      <w:lvlJc w:val="left"/>
      <w:pPr>
        <w:tabs>
          <w:tab w:val="num" w:pos="0"/>
        </w:tabs>
        <w:ind w:left="5220" w:hanging="1800"/>
      </w:pPr>
      <w:rPr>
        <w:rFonts w:cs="Times New Roman" w:hint="default"/>
      </w:rPr>
    </w:lvl>
  </w:abstractNum>
  <w:abstractNum w:abstractNumId="3">
    <w:nsid w:val="700A0E56"/>
    <w:multiLevelType w:val="multilevel"/>
    <w:tmpl w:val="2FE4BF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22"/>
    <w:rsid w:val="000B7157"/>
    <w:rsid w:val="00216A22"/>
    <w:rsid w:val="00D03B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99"/>
    <w:qFormat/>
    <w:rsid w:val="00D03B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99"/>
    <w:qFormat/>
    <w:rsid w:val="00D03B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4108</Characters>
  <Application>Microsoft Office Word</Application>
  <DocSecurity>0</DocSecurity>
  <Lines>34</Lines>
  <Paragraphs>9</Paragraphs>
  <ScaleCrop>false</ScaleCrop>
  <Company>JUSTMIN</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Tamm</dc:creator>
  <cp:keywords/>
  <dc:description/>
  <cp:lastModifiedBy>Krista Tamm</cp:lastModifiedBy>
  <cp:revision>2</cp:revision>
  <dcterms:created xsi:type="dcterms:W3CDTF">2012-11-22T12:37:00Z</dcterms:created>
  <dcterms:modified xsi:type="dcterms:W3CDTF">2012-11-22T12:37:00Z</dcterms:modified>
</cp:coreProperties>
</file>